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аудиторской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аудиторской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«Правовое регулирование аудиторской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аудиторской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об аудиторской деятельности, федеральные стандарты аудиторской деятельности,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законодательство Российской Федерации, практику применения законодательства Российской Федерации трудового законодательства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«Правовое регулирование аудиторской деятельности»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Консалтинг</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аудиторской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Правовой статус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стандарты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Аудиторское заключение. Аудиторская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аудиторской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Правовой статус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стандарты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Аудиторское заключение. Аудиторская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финансового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бюджетного устройства, финансового механизма и системы органов государственного финансового контроля. Организация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Полномочия общегосударственных, центральных, межведомственных, ведомственных и местных органов финансового контроля. Контрольные органы представительной 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Направления деятельности в рамках полномочий в сфере экспертно-аналитической деятельности. Нормативное обеспечение деятельности Счетной палаты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аудиторской деятельности в России</w:t>
            </w:r>
          </w:p>
        </w:tc>
      </w:tr>
      <w:tr>
        <w:trPr>
          <w:trHeight w:hRule="exact" w:val="2440.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 Правовое регулирование аудиторской деятельности. Органы, регулирующие аудиторскую деятельность в РФ. Нормативно- правовая база, регламентирующая аудиторскую деятельность на территории РФ. Федеральный закон РФ «Об аудиторской деятельности» от 30.12.2008г. No 307-ФЗ. Правовое положение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Обязательный аудит. Сопутствующие и прочие услуги. Права и обязанности аудитора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(аудиторских компаний) и аудируемых лиц. Ответственность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Правовой статус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субъектов, которые вправе осуществлять аудиторскую деятельность. Правовое положение аудиторов, аудиторских организаций и индивидуальных аудиторов. Договор на Оказание аудиторских услуг. Права и обязанности аудируемых лиц и (или) лиц, заключивших договор оказания аудиторских услуг.</w:t>
            </w:r>
          </w:p>
          <w:p>
            <w:pPr>
              <w:jc w:val="both"/>
              <w:spacing w:after="0" w:line="240" w:lineRule="auto"/>
              <w:rPr>
                <w:sz w:val="24"/>
                <w:szCs w:val="24"/>
              </w:rPr>
            </w:pPr>
            <w:r>
              <w:rPr>
                <w:rFonts w:ascii="Times New Roman" w:hAnsi="Times New Roman" w:cs="Times New Roman"/>
                <w:color w:val="#000000"/>
                <w:sz w:val="24"/>
                <w:szCs w:val="24"/>
              </w:rPr>
              <w:t> Аттестация на право осуществления аудиторской деятельности. Основания и порядок аннулирования квалификационного аттестата аудитора. Бухгалтерский учет и отчетность как объекты аудита. Законодательство и основные положения о порядке ведения бухгалтерского учета в Российской Федерации. Понятие достоверности финансовой (бухгалтерской) отчетности аудируемых лиц.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стандарты аудиторской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аудиторской деятельности и их место в системе регулирования аудиторской деятельности. Виды стандартов: федеральные правила (стандарты) аудиторской деятельности; внутренние правила (стандарты) аудиторской деятельности, действующие в профессиональных аудиторских объединениях; правила (стандарты) аудиторской деятельности аудиторских организаций и индивидуальных аудиторов.</w:t>
            </w:r>
          </w:p>
          <w:p>
            <w:pPr>
              <w:jc w:val="both"/>
              <w:spacing w:after="0" w:line="240" w:lineRule="auto"/>
              <w:rPr>
                <w:sz w:val="24"/>
                <w:szCs w:val="24"/>
              </w:rPr>
            </w:pPr>
            <w:r>
              <w:rPr>
                <w:rFonts w:ascii="Times New Roman" w:hAnsi="Times New Roman" w:cs="Times New Roman"/>
                <w:color w:val="#000000"/>
                <w:sz w:val="24"/>
                <w:szCs w:val="24"/>
              </w:rPr>
              <w:t> Международные стандарты и их значение для регулирования аудиторской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Саморегулируемые аудиторские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Аудиторское заключение. Аудиторская тайна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 аудитора к информаций аудируемого лица. Аудиторская тайна. Правила (стандарты) аудиторской деятельности, регулирующие вопросы выдачи аудиторских заключений.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Состав и содержание аудиторского заключения. Виды аудиторских заключений. Заведомо ложное аудиторское заключение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финансового контроля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бюджетного устройства, финансового механизма и системы органов государственного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Полномочия общегосударственных, центральных, межведомственных, ведомственных и местных органов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3. Контрольные органы представительной и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Нормативное обеспечение деятельности Счетной палаты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аудиторской деятельности в России</w:t>
            </w:r>
          </w:p>
        </w:tc>
      </w:tr>
      <w:tr>
        <w:trPr>
          <w:trHeight w:hRule="exact" w:val="21.31518"/>
        </w:trPr>
        <w:tc>
          <w:tcPr>
            <w:tcW w:w="9640" w:type="dxa"/>
          </w:tcPr>
          <w:p/>
        </w:tc>
      </w:tr>
      <w:tr>
        <w:trPr>
          <w:trHeight w:hRule="exact" w:val="451.1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Органы, регулирующие аудиторскую деятельность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Нормативно-правовая база, регламентирующая аудиторскую деятельность на территории РФ.</w:t>
            </w:r>
          </w:p>
          <w:p>
            <w:pPr>
              <w:jc w:val="left"/>
              <w:spacing w:after="0" w:line="240" w:lineRule="auto"/>
              <w:rPr>
                <w:sz w:val="24"/>
                <w:szCs w:val="24"/>
              </w:rPr>
            </w:pPr>
            <w:r>
              <w:rPr>
                <w:rFonts w:ascii="Times New Roman" w:hAnsi="Times New Roman" w:cs="Times New Roman"/>
                <w:color w:val="#000000"/>
                <w:sz w:val="24"/>
                <w:szCs w:val="24"/>
              </w:rPr>
              <w:t> 3. Федеральный закон РФ «Об аудиторской деятельности» от 30.12.2008г. No 307-ФЗ.</w:t>
            </w:r>
          </w:p>
          <w:p>
            <w:pPr>
              <w:jc w:val="left"/>
              <w:spacing w:after="0" w:line="240" w:lineRule="auto"/>
              <w:rPr>
                <w:sz w:val="24"/>
                <w:szCs w:val="24"/>
              </w:rPr>
            </w:pPr>
            <w:r>
              <w:rPr>
                <w:rFonts w:ascii="Times New Roman" w:hAnsi="Times New Roman" w:cs="Times New Roman"/>
                <w:color w:val="#000000"/>
                <w:sz w:val="24"/>
                <w:szCs w:val="24"/>
              </w:rPr>
              <w:t> 4. Правовое положение аудиторов и аудиторских фирм.</w:t>
            </w:r>
          </w:p>
          <w:p>
            <w:pPr>
              <w:jc w:val="left"/>
              <w:spacing w:after="0" w:line="240" w:lineRule="auto"/>
              <w:rPr>
                <w:sz w:val="24"/>
                <w:szCs w:val="24"/>
              </w:rPr>
            </w:pPr>
            <w:r>
              <w:rPr>
                <w:rFonts w:ascii="Times New Roman" w:hAnsi="Times New Roman" w:cs="Times New Roman"/>
                <w:color w:val="#000000"/>
                <w:sz w:val="24"/>
                <w:szCs w:val="24"/>
              </w:rPr>
              <w:t> 5. Обязательный аудит. Сопутствующие и прочие услуги.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Правовой статус субъектов аудиторской деятельности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и обязанности аудиторских фирм и экономических субъектов.</w:t>
            </w:r>
          </w:p>
          <w:p>
            <w:pPr>
              <w:jc w:val="left"/>
              <w:spacing w:after="0" w:line="240" w:lineRule="auto"/>
              <w:rPr>
                <w:sz w:val="24"/>
                <w:szCs w:val="24"/>
              </w:rPr>
            </w:pPr>
            <w:r>
              <w:rPr>
                <w:rFonts w:ascii="Times New Roman" w:hAnsi="Times New Roman" w:cs="Times New Roman"/>
                <w:color w:val="#000000"/>
                <w:sz w:val="24"/>
                <w:szCs w:val="24"/>
              </w:rPr>
              <w:t> 2.	Ведение государственных реестров аудиторов и аудиторских фирм, профессиональных аудиторских объединений и учебно-методических центров.</w:t>
            </w:r>
          </w:p>
          <w:p>
            <w:pPr>
              <w:jc w:val="left"/>
              <w:spacing w:after="0" w:line="240" w:lineRule="auto"/>
              <w:rPr>
                <w:sz w:val="24"/>
                <w:szCs w:val="24"/>
              </w:rPr>
            </w:pPr>
            <w:r>
              <w:rPr>
                <w:rFonts w:ascii="Times New Roman" w:hAnsi="Times New Roman" w:cs="Times New Roman"/>
                <w:color w:val="#000000"/>
                <w:sz w:val="24"/>
                <w:szCs w:val="24"/>
              </w:rPr>
              <w:t> 3.	Аккредитация профессиональных аудиторских объединений.</w:t>
            </w:r>
          </w:p>
          <w:p>
            <w:pPr>
              <w:jc w:val="left"/>
              <w:spacing w:after="0" w:line="240" w:lineRule="auto"/>
              <w:rPr>
                <w:sz w:val="24"/>
                <w:szCs w:val="24"/>
              </w:rPr>
            </w:pPr>
            <w:r>
              <w:rPr>
                <w:rFonts w:ascii="Times New Roman" w:hAnsi="Times New Roman" w:cs="Times New Roman"/>
                <w:color w:val="#000000"/>
                <w:sz w:val="24"/>
                <w:szCs w:val="24"/>
              </w:rPr>
              <w:t> 4.	 Хозяйствующие субъекты, которые должны представлять свою бухгалтерскую отчетность вместе с аудиторским заключением.</w:t>
            </w:r>
          </w:p>
          <w:p>
            <w:pPr>
              <w:jc w:val="left"/>
              <w:spacing w:after="0" w:line="240" w:lineRule="auto"/>
              <w:rPr>
                <w:sz w:val="24"/>
                <w:szCs w:val="24"/>
              </w:rPr>
            </w:pPr>
            <w:r>
              <w:rPr>
                <w:rFonts w:ascii="Times New Roman" w:hAnsi="Times New Roman" w:cs="Times New Roman"/>
                <w:color w:val="#000000"/>
                <w:sz w:val="24"/>
                <w:szCs w:val="24"/>
              </w:rPr>
              <w:t> 5.	Организация системы надзора и контроля за соблюдением аудиторскими организациями и индивидуальными аудиторами аккредитационных требований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стандарты аудиторской деятельности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Применимые стандарты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2.	Стандарты саморегулируемой организации аудиторов</w:t>
            </w:r>
          </w:p>
          <w:p>
            <w:pPr>
              <w:jc w:val="left"/>
              <w:spacing w:after="0" w:line="240" w:lineRule="auto"/>
              <w:rPr>
                <w:sz w:val="24"/>
                <w:szCs w:val="24"/>
              </w:rPr>
            </w:pPr>
            <w:r>
              <w:rPr>
                <w:rFonts w:ascii="Times New Roman" w:hAnsi="Times New Roman" w:cs="Times New Roman"/>
                <w:color w:val="#000000"/>
                <w:sz w:val="24"/>
                <w:szCs w:val="24"/>
              </w:rPr>
              <w:t> 3.	Внутренние стандарты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4.	Содержание и порядок разработки международных стандартов аудита и сопутствующих услуг.</w:t>
            </w:r>
          </w:p>
          <w:p>
            <w:pPr>
              <w:jc w:val="left"/>
              <w:spacing w:after="0" w:line="240" w:lineRule="auto"/>
              <w:rPr>
                <w:sz w:val="24"/>
                <w:szCs w:val="24"/>
              </w:rPr>
            </w:pPr>
            <w:r>
              <w:rPr>
                <w:rFonts w:ascii="Times New Roman" w:hAnsi="Times New Roman" w:cs="Times New Roman"/>
                <w:color w:val="#000000"/>
                <w:sz w:val="24"/>
                <w:szCs w:val="24"/>
              </w:rPr>
              <w:t> 5.	Соотношение международных стандартов финансовой отчетности и международных стандартов аудита</w:t>
            </w:r>
          </w:p>
          <w:p>
            <w:pPr>
              <w:jc w:val="left"/>
              <w:spacing w:after="0" w:line="240" w:lineRule="auto"/>
              <w:rPr>
                <w:sz w:val="24"/>
                <w:szCs w:val="24"/>
              </w:rPr>
            </w:pPr>
            <w:r>
              <w:rPr>
                <w:rFonts w:ascii="Times New Roman" w:hAnsi="Times New Roman" w:cs="Times New Roman"/>
                <w:color w:val="#000000"/>
                <w:sz w:val="24"/>
                <w:szCs w:val="24"/>
              </w:rPr>
              <w:t> 6.	Соответствие состава и принципов разработки российских стандартов аудита международным.</w:t>
            </w:r>
          </w:p>
          <w:p>
            <w:pPr>
              <w:jc w:val="left"/>
              <w:spacing w:after="0" w:line="240" w:lineRule="auto"/>
              <w:rPr>
                <w:sz w:val="24"/>
                <w:szCs w:val="24"/>
              </w:rPr>
            </w:pPr>
            <w:r>
              <w:rPr>
                <w:rFonts w:ascii="Times New Roman" w:hAnsi="Times New Roman" w:cs="Times New Roman"/>
                <w:color w:val="#000000"/>
                <w:sz w:val="24"/>
                <w:szCs w:val="24"/>
              </w:rPr>
              <w:t> 7.	Основные цели независимого аудитора и проведение аудита в соответствии с международными стандартами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Саморегулируемые аудиторские организации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регулирования и саморегулирования в аудите.</w:t>
            </w:r>
          </w:p>
          <w:p>
            <w:pPr>
              <w:jc w:val="left"/>
              <w:spacing w:after="0" w:line="240" w:lineRule="auto"/>
              <w:rPr>
                <w:sz w:val="24"/>
                <w:szCs w:val="24"/>
              </w:rPr>
            </w:pPr>
            <w:r>
              <w:rPr>
                <w:rFonts w:ascii="Times New Roman" w:hAnsi="Times New Roman" w:cs="Times New Roman"/>
                <w:color w:val="#000000"/>
                <w:sz w:val="24"/>
                <w:szCs w:val="24"/>
              </w:rPr>
              <w:t> 2.	Система законодательных актов, регулирующих аудиторскую деятельность.</w:t>
            </w:r>
          </w:p>
          <w:p>
            <w:pPr>
              <w:jc w:val="left"/>
              <w:spacing w:after="0" w:line="240" w:lineRule="auto"/>
              <w:rPr>
                <w:sz w:val="24"/>
                <w:szCs w:val="24"/>
              </w:rPr>
            </w:pPr>
            <w:r>
              <w:rPr>
                <w:rFonts w:ascii="Times New Roman" w:hAnsi="Times New Roman" w:cs="Times New Roman"/>
                <w:color w:val="#000000"/>
                <w:sz w:val="24"/>
                <w:szCs w:val="24"/>
              </w:rPr>
              <w:t> 3.	Саморегулируемые аудиторские организации. Законодательное регулирование саморегулируемых аудиторских организаций.</w:t>
            </w:r>
          </w:p>
          <w:p>
            <w:pPr>
              <w:jc w:val="left"/>
              <w:spacing w:after="0" w:line="240" w:lineRule="auto"/>
              <w:rPr>
                <w:sz w:val="24"/>
                <w:szCs w:val="24"/>
              </w:rPr>
            </w:pPr>
            <w:r>
              <w:rPr>
                <w:rFonts w:ascii="Times New Roman" w:hAnsi="Times New Roman" w:cs="Times New Roman"/>
                <w:color w:val="#000000"/>
                <w:sz w:val="24"/>
                <w:szCs w:val="24"/>
              </w:rPr>
              <w:t> 4.	Контроль качества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5.	Законодательное ограничения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6.	Формы предпринимательской деятельности в аудите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Правовой механизм аудиторских услуг.  Ответственность субъектов аудиторской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left"/>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left"/>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Аудиторское заключение. Аудиторская тайна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Доступ аудитора к информаций аудируемого лица.</w:t>
            </w:r>
          </w:p>
          <w:p>
            <w:pPr>
              <w:jc w:val="left"/>
              <w:spacing w:after="0" w:line="240" w:lineRule="auto"/>
              <w:rPr>
                <w:sz w:val="24"/>
                <w:szCs w:val="24"/>
              </w:rPr>
            </w:pPr>
            <w:r>
              <w:rPr>
                <w:rFonts w:ascii="Times New Roman" w:hAnsi="Times New Roman" w:cs="Times New Roman"/>
                <w:color w:val="#000000"/>
                <w:sz w:val="24"/>
                <w:szCs w:val="24"/>
              </w:rPr>
              <w:t> 2.	Аудиторская тайна.</w:t>
            </w:r>
          </w:p>
          <w:p>
            <w:pPr>
              <w:jc w:val="left"/>
              <w:spacing w:after="0" w:line="240" w:lineRule="auto"/>
              <w:rPr>
                <w:sz w:val="24"/>
                <w:szCs w:val="24"/>
              </w:rPr>
            </w:pPr>
            <w:r>
              <w:rPr>
                <w:rFonts w:ascii="Times New Roman" w:hAnsi="Times New Roman" w:cs="Times New Roman"/>
                <w:color w:val="#000000"/>
                <w:sz w:val="24"/>
                <w:szCs w:val="24"/>
              </w:rPr>
              <w:t> 3.	Правила (стандарты) аудиторской деятельности, регулирующие вопросы выдачи аудиторских заключений.</w:t>
            </w:r>
          </w:p>
          <w:p>
            <w:pPr>
              <w:jc w:val="left"/>
              <w:spacing w:after="0" w:line="240" w:lineRule="auto"/>
              <w:rPr>
                <w:sz w:val="24"/>
                <w:szCs w:val="24"/>
              </w:rPr>
            </w:pPr>
            <w:r>
              <w:rPr>
                <w:rFonts w:ascii="Times New Roman" w:hAnsi="Times New Roman" w:cs="Times New Roman"/>
                <w:color w:val="#000000"/>
                <w:sz w:val="24"/>
                <w:szCs w:val="24"/>
              </w:rPr>
              <w:t> 4.	Определение порядка представления отчетности в области аудита.</w:t>
            </w:r>
          </w:p>
          <w:p>
            <w:pPr>
              <w:jc w:val="left"/>
              <w:spacing w:after="0" w:line="240" w:lineRule="auto"/>
              <w:rPr>
                <w:sz w:val="24"/>
                <w:szCs w:val="24"/>
              </w:rPr>
            </w:pPr>
            <w:r>
              <w:rPr>
                <w:rFonts w:ascii="Times New Roman" w:hAnsi="Times New Roman" w:cs="Times New Roman"/>
                <w:color w:val="#000000"/>
                <w:sz w:val="24"/>
                <w:szCs w:val="24"/>
              </w:rPr>
              <w:t> 5.	Состав и содержание аудиторского заключения.</w:t>
            </w:r>
          </w:p>
          <w:p>
            <w:pPr>
              <w:jc w:val="left"/>
              <w:spacing w:after="0" w:line="240" w:lineRule="auto"/>
              <w:rPr>
                <w:sz w:val="24"/>
                <w:szCs w:val="24"/>
              </w:rPr>
            </w:pPr>
            <w:r>
              <w:rPr>
                <w:rFonts w:ascii="Times New Roman" w:hAnsi="Times New Roman" w:cs="Times New Roman"/>
                <w:color w:val="#000000"/>
                <w:sz w:val="24"/>
                <w:szCs w:val="24"/>
              </w:rPr>
              <w:t> 6.	Виды аудиторских заключений. Заведомо ложное аудиторское заключение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аудиторской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https://urait.ru/bcode/448531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ценности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бухгалтеров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https://urait.ru/bcode/507852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2024-2025_ФГОС3++2024_Бак-ОЗФО-Э(ФКиА)(24)_plx_Правовое регулирование аудиторской деятельности</dc:title>
  <dc:creator>FastReport.NET</dc:creator>
</cp:coreProperties>
</file>